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5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object w:dxaOrig="5309" w:dyaOrig="28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9.00pt;height:45.75pt;mso-wrap-distance-left:0.00pt;mso-wrap-distance-top:0.00pt;mso-wrap-distance-right:0.00pt;mso-wrap-distance-bottom:0.00pt;" filled="f" stroked="f">
            <v:path textboxrect="0,0,0,0"/>
            <v:imagedata r:id="rId13" o:title=""/>
          </v:shape>
          <o:OLEObject DrawAspect="Content" r:id="rId14" ObjectID="_1525040" ProgID="Imaging.Document" ShapeID="_x0000_i0" Type="Embed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</w:t>
      </w:r>
    </w:p>
    <w:p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ТЮЛЬГАНСКИЙ РАЙОН ОРЕНБУРГСКОЙ ОБЛАСТИ </w:t>
      </w:r>
    </w:p>
    <w:p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</w:t>
      </w:r>
    </w:p>
    <w:p>
      <w:pPr>
        <w:pStyle w:val="21"/>
        <w:pBdr>
          <w:bottom w:val="single" w:color="auto" w:sz="12" w:space="1"/>
        </w:pBdr>
        <w:spacing w:after="0" w:line="240" w:lineRule="auto"/>
        <w:jc w:val="center"/>
        <w:rPr>
          <w:b/>
          <w:bCs/>
        </w:rPr>
      </w:pPr>
    </w:p>
    <w:p>
      <w:pPr>
        <w:pStyle w:val="21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7216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2414644</wp:posOffset>
                </wp:positionV>
                <wp:extent cx="2924175" cy="360045"/>
                <wp:effectExtent l="0" t="0" r="0" b="0"/>
                <wp:wrapNone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92417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7216;o:allowoverlap:true;o:allowincell:false;mso-position-horizontal-relative:page;margin-left:85.05pt;mso-position-horizontal:absolute;mso-position-vertical-relative:page;margin-top:190.13pt;mso-position-vertical:absolute;width:230.25pt;height:28.3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</w:p>
    <w:p>
      <w:pPr>
        <w:pStyle w:val="21"/>
        <w:spacing w:line="240" w:lineRule="auto"/>
      </w:pPr>
      <w:r>
        <w:t xml:space="preserve">__________________                                     </w:t>
      </w:r>
      <w:r>
        <w:t xml:space="preserve">                                                    </w:t>
      </w:r>
      <w:r>
        <w:t xml:space="preserve">№ _____________</w:t>
      </w:r>
    </w:p>
    <w:p>
      <w:pPr>
        <w:pStyle w:val="21"/>
        <w:spacing w:after="0" w:line="240" w:lineRule="auto"/>
        <w:jc w:val="center"/>
        <w:rPr>
          <w:sz w:val="26"/>
          <w:szCs w:val="26"/>
        </w:rPr>
      </w:pPr>
      <w:r>
        <w:t xml:space="preserve">п.</w:t>
      </w:r>
      <w:r>
        <w:rPr>
          <w:sz w:val="26"/>
          <w:szCs w:val="26"/>
        </w:rPr>
        <w:t xml:space="preserve"> Тюльган</w:t>
      </w:r>
    </w:p>
    <w:p>
      <w:pPr>
        <w:pStyle w:val="21"/>
        <w:spacing w:after="0" w:line="240" w:lineRule="auto"/>
        <w:jc w:val="center"/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0183916"/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территорий за образовательными организациями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Тюльганск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а, реализующими образовательные программы дошкольного и общего образования</w:t>
      </w:r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В соответст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вии с Федеральным законом от 29 декабря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2012 г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№273- ФЗ «Об образовании в Российской Федерации», Приказами Министерства образования и науки Российской Федерации от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2 сентября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20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20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458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приема на обучение по образовательным программам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15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мая 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20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20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 г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ода 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 №2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36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в целях учёта детей, подлежащих обучению по образовательным программам дошкольного и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ю:</w:t>
      </w:r>
    </w:p>
    <w:p>
      <w:pPr>
        <w:pStyle w:val="210"/>
        <w:shd w:val="clear" w:color="auto" w:fill="auto"/>
        <w:tabs>
          <w:tab w:val="left" w:pos="540"/>
        </w:tabs>
        <w:spacing w:before="0" w:after="0" w:line="240" w:lineRule="auto"/>
        <w:ind w:firstLine="709"/>
        <w:rPr>
          <w:rStyle w:val="23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Закрепить за муниципальными образовательными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организациями территории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(населенные пункты) Тюльганского района согласно 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Приложению к</w:t>
      </w: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настоящему постановлению.</w:t>
      </w:r>
    </w:p>
    <w:p>
      <w:pPr>
        <w:pStyle w:val="210"/>
        <w:shd w:val="clear" w:color="auto" w:fill="auto"/>
        <w:tabs>
          <w:tab w:val="left" w:pos="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 администрации Тюльганского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r>
        <w:rPr>
          <w:rFonts w:ascii="Times New Roman" w:hAnsi="Times New Roman" w:cs="Times New Roman"/>
          <w:sz w:val="28"/>
          <w:szCs w:val="28"/>
        </w:rPr>
        <w:t xml:space="preserve">Сергеевой осуществлять контроль за организацией работы образовательных организаций по учёту детей на территории Тюльганского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Постановление администрации Тюльганского района от 28 января 2025 года №65-п «</w:t>
      </w:r>
      <w:r>
        <w:rPr>
          <w:rFonts w:ascii="Times New Roman" w:hAnsi="Times New Roman" w:cs="Times New Roman"/>
          <w:sz w:val="28"/>
          <w:szCs w:val="28"/>
        </w:rPr>
        <w:t xml:space="preserve">О закреплении территорий за образовательными организациями Тюльганского района, реализующими образовательные программы дошкольного и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района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hAnsi="Times New Roman" w:cs="Times New Roman"/>
          <w:sz w:val="28"/>
          <w:szCs w:val="28"/>
        </w:rPr>
        <w:t xml:space="preserve">Круглова.</w:t>
      </w:r>
    </w:p>
    <w:p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tabs>
          <w:tab w:val="left" w:pos="1276"/>
        </w:tabs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Исполняющий обязанности главы</w:t>
      </w:r>
    </w:p>
    <w:p>
      <w:pPr>
        <w:widowControl w:val="off"/>
        <w:tabs>
          <w:tab w:val="left" w:pos="1276"/>
        </w:tabs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администрации района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      И.А. Круглов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0" allowOverlap="1">
                <wp:simplePos x="0" y="0"/>
                <wp:positionH relativeFrom="page">
                  <wp:posOffset>3027270</wp:posOffset>
                </wp:positionH>
                <wp:positionV relativeFrom="page">
                  <wp:posOffset>1901228</wp:posOffset>
                </wp:positionV>
                <wp:extent cx="2877185" cy="1080135"/>
                <wp:effectExtent l="0" t="0" r="0" b="0"/>
                <wp:wrapNone/>
                <wp:docPr id="3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87718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false;mso-position-horizontal-relative:page;margin-left:238.37pt;mso-position-horizontal:absolute;mso-position-vertical-relative:page;margin-top:149.70pt;mso-position-vertical:absolute;width:226.55pt;height:85.0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bookmarkEnd w:id="1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10"/>
        <w:gridCol w:w="7810"/>
      </w:tblGrid>
      <w:tr>
        <w:tc>
          <w:tcPr>
            <w:tcW w:w="1810" w:type="dxa"/>
          </w:tcPr>
          <w:p>
            <w:pPr>
              <w:ind w:firstLine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Разослано: </w:t>
            </w:r>
          </w:p>
        </w:tc>
        <w:tc>
          <w:tcPr>
            <w:tcW w:w="78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Райпрокурору</w:t>
            </w:r>
            <w:r>
              <w:rPr>
                <w:sz w:val="28"/>
                <w:szCs w:val="28"/>
              </w:rPr>
              <w:t xml:space="preserve">, орготделу, </w:t>
            </w:r>
            <w:r>
              <w:rPr>
                <w:sz w:val="28"/>
                <w:szCs w:val="28"/>
              </w:rPr>
              <w:t xml:space="preserve">отделу образования, образовательным организация</w:t>
            </w:r>
            <w:r>
              <w:rPr>
                <w:sz w:val="28"/>
                <w:szCs w:val="28"/>
              </w:rPr>
              <w:t xml:space="preserve">м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</w:t>
      </w:r>
    </w:p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</w:p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Тюльганский район </w:t>
      </w:r>
    </w:p>
    <w:p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№__________от_______________</w:t>
      </w:r>
    </w:p>
    <w:p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26"/>
          <w:szCs w:val="26"/>
          <w:u w:val="single"/>
        </w:rPr>
      </w:pPr>
    </w:p>
    <w:p>
      <w:pPr>
        <w:tabs>
          <w:tab w:val="left" w:pos="4170"/>
          <w:tab w:val="center" w:pos="4767"/>
        </w:tabs>
        <w:spacing w:after="0" w:line="24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ind w:firstLine="180"/>
        <w:jc w:val="center"/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t xml:space="preserve">Территории, </w:t>
      </w:r>
    </w:p>
    <w:p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t xml:space="preserve">закреплённые за муниципальными образовательными</w:t>
      </w:r>
      <w:r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br/>
        <w:t xml:space="preserve">организациями Тюльганского района Оренбургской области</w:t>
      </w:r>
    </w:p>
    <w:p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900" w:type="dxa"/>
        <w:tblInd w:w="-612" w:type="dxa"/>
        <w:tblLook w:val="01E0" w:firstRow="1" w:lastRow="1" w:firstColumn="1" w:lastColumn="1" w:noHBand="0" w:noVBand="0"/>
      </w:tblPr>
      <w:tblGrid>
        <w:gridCol w:w="648"/>
        <w:gridCol w:w="5034"/>
        <w:gridCol w:w="4218"/>
      </w:tblGrid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№</w:t>
            </w:r>
          </w:p>
          <w:p>
            <w:pPr>
              <w:pStyle w:val="210"/>
              <w:shd w:val="clear" w:color="auto" w:fill="auto"/>
              <w:spacing w:before="6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260" w:lineRule="exact"/>
              <w:ind w:left="600" w:right="-108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>
            <w:pPr>
              <w:pStyle w:val="210"/>
              <w:shd w:val="clear" w:color="auto" w:fill="auto"/>
              <w:spacing w:before="0" w:after="0" w:line="260" w:lineRule="exact"/>
              <w:ind w:left="600" w:right="-108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Наименование ОО</w:t>
            </w:r>
          </w:p>
        </w:tc>
        <w:tc>
          <w:tcPr>
            <w:tcW w:w="4218" w:type="dxa"/>
            <w:vAlign w:val="bottom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Территория, закреплённая за муниципальной образовательной организацией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5034" w:type="dxa"/>
            <w:vAlign w:val="bottom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«Алмалинская средняя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Алмала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Варваринка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5034" w:type="dxa"/>
            <w:vAlign w:val="bottom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«Аллабердинская средняя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Алабердино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3</w:t>
            </w:r>
          </w:p>
        </w:tc>
        <w:tc>
          <w:tcPr>
            <w:tcW w:w="5034" w:type="dxa"/>
            <w:vAlign w:val="bottom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«Астрахановская основная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Астрахановка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4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Благодарновская средняя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Благодарное</w:t>
            </w:r>
          </w:p>
          <w:p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Астрахановка</w:t>
            </w:r>
          </w:p>
          <w:p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Романовка</w:t>
            </w:r>
          </w:p>
          <w:p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Екатериновка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хутор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Парфирьевка</w:t>
            </w:r>
          </w:p>
          <w:p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хутор Егорьевка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5034" w:type="dxa"/>
            <w:vAlign w:val="bottom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«Благовещенская средняя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Благовещенка,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Болдырёвка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Ключи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5034" w:type="dxa"/>
            <w:vAlign w:val="bottom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Владимировская средняя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Владимировка,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Давлеткулово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станция Тюльган,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хутор Копылы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5034" w:type="dxa"/>
            <w:vAlign w:val="bottom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«Городецкая средняя общеобразовательная школа им. Героя России Александра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Прохоренко»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Городки,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хутор Советский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Новосергиевка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«Екатеринославская средняя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Екатеринославка,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Аустяново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Савельевка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Стретинка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Екатериновская начальная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Екатериновка,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Романовка,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Астрахановка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Парфирьевка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хутор Егорьевка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«Ивановская основная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Ивановка, село Рудное</w:t>
            </w:r>
          </w:p>
        </w:tc>
      </w:tr>
      <w:t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Ключевск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ий филиал Муниципального бюджетного общеобразовательного учреждения «Благовещенская СОШ»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Ключи</w:t>
            </w:r>
          </w:p>
        </w:tc>
      </w:tr>
      <w:tr>
        <w:trPr>
          <w:trHeight w:val="922"/>
        </w:trPr>
        <w:tc>
          <w:tcPr>
            <w:tcW w:w="64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12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«Нововасильевская основная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Нововасильевка, </w:t>
            </w:r>
          </w:p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Новониколаевка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</w:p>
        </w:tc>
        <w:tc>
          <w:tcPr>
            <w:tcW w:w="5034" w:type="dxa"/>
            <w:vAlign w:val="bottom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«Разномойская средняя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Разномойка, </w:t>
            </w:r>
          </w:p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х. Славянка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</w:p>
        </w:tc>
        <w:tc>
          <w:tcPr>
            <w:tcW w:w="5034" w:type="dxa"/>
            <w:vAlign w:val="bottom"/>
          </w:tcPr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«Репьёвская средняя общеобразовательная школа»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Репьёвка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Козловка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</w:p>
        </w:tc>
        <w:tc>
          <w:tcPr>
            <w:tcW w:w="5034" w:type="dxa"/>
            <w:vAlign w:val="bottom"/>
          </w:tcPr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Ташлинская средняя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Ташла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«Троицкая средняя общеобразовательная школа» с Троицкое Тюльганского района Оренбургской области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Троицкое,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Николаевка,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Междуречье,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хутор Андреевский</w:t>
            </w:r>
          </w:p>
          <w:p>
            <w:pPr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Рудное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Тугустемирская средняя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>
            <w:pPr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Тугустемир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деревня Новая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Барангуловка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хутор Калинин, </w:t>
            </w:r>
          </w:p>
          <w:p>
            <w:pPr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хутор Новый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Турай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</w:t>
            </w:r>
          </w:p>
          <w:p>
            <w:pPr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хутор Старый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Турай</w:t>
            </w:r>
          </w:p>
        </w:tc>
      </w:tr>
      <w:tr>
        <w:trPr>
          <w:trHeight w:val="3130"/>
        </w:trP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Тюльганская средняя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 №1»</w:t>
            </w:r>
          </w:p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>
            <w:pPr>
              <w:rPr>
                <w:rStyle w:val="24"/>
                <w:color w:val="000000"/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 xml:space="preserve">ул. Кирова 1-6, ул. Октябрьская 1,3-6,</w:t>
            </w:r>
          </w:p>
          <w:p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 xml:space="preserve"> ул.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М.Горького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24а.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27,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ул.Магистральная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3,5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ул.Шахтостроительная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10,26/2,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8 Марта 4,10,12,1 7,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ул.Ленина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1,3-10, 31,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ул.Советская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12,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ул.Восточная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(чётные номера домов)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ул.Пионерская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1-5,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пер.Почтовый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7,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Жилгородок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ул.Олимпийская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пер.Газовый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пер.Торговый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пер.Совхозный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пер.Школьный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Подстанция,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ул.Аксакова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ул.Высоцкого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ул.Гирина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ул.Горняцкая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ул.Есенина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ул.Культурная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 Лесная, хутор Старый Тюльган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ул.Сосновая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ул.Малиновая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«Лицей №1»</w:t>
            </w:r>
          </w:p>
        </w:tc>
        <w:tc>
          <w:tcPr>
            <w:tcW w:w="4218" w:type="dxa"/>
          </w:tcPr>
          <w:p>
            <w:pPr>
              <w:rPr>
                <w:rStyle w:val="24"/>
                <w:color w:val="000000"/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 xml:space="preserve">ул.Кирова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6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а,б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,-7,8,10.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ул.Октябрьская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7-9,11,15,17,19, ул.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М.Горького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3,18,22,23,24,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ул.Магистральная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7,</w:t>
            </w:r>
          </w:p>
          <w:p>
            <w:pPr>
              <w:rPr>
                <w:rStyle w:val="24"/>
                <w:color w:val="000000"/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 xml:space="preserve">ул.Шахтостроительная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18,20,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 xml:space="preserve">ул. 8 Марта 21,19,23,25,27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ул.Ленина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11-15, 29, 33,35.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ул.Советская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13.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ул.Восточная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(нечётные номера домов), 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ул.Пионерская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6-9,11.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пер.Почтовый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9,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ул.Луговая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ул.Маяковского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ул.Молодёжная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ул.Новая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ул.Первомайская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ул.Пугачёвская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ул.Пушкинская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ул.Савицкой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ул. Северная,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ул.Степная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ул. Строителей,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ул.Терешковой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ул. Шоссейная, ул. Южная, ул. Промышленная,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ул.Просторная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, ул. Солнечная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«Алёнка»</w:t>
            </w:r>
          </w:p>
        </w:tc>
        <w:tc>
          <w:tcPr>
            <w:tcW w:w="4218" w:type="dxa"/>
            <w:vAlign w:val="bottom"/>
          </w:tcPr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п. Тюльган: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Кирова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2, 4,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6, 6а, 6б, 8, 10,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Октябрьская 3, 5, 7,9,11,17,19,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 ул.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М.Горького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18,22,23,24, 24а-27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«Солнышко»</w:t>
            </w:r>
          </w:p>
        </w:tc>
        <w:tc>
          <w:tcPr>
            <w:tcW w:w="4218" w:type="dxa"/>
            <w:vAlign w:val="bottom"/>
          </w:tcPr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п. Тюльган: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8 Марта, ул. Ленина 12-15,29,31, 33,35,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Советская 13, ул. Восточная 26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-94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ул. Есенина,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ул.Пионерская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6-9,11,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ул.Гирина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пер.Совхозный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пер.Почтовый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7, 9,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8 Марта 4,10,12,17,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ул.Молодёжная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ул.Новая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ул.Первомайская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ул. Просторная,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ул.Луговая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ул.Савицк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Лесная, ул. Северная,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ул.Степная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Строителей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ул.Терешковой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ул.Шоссейная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ул.Южная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.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«Родничок»</w:t>
            </w:r>
          </w:p>
        </w:tc>
        <w:tc>
          <w:tcPr>
            <w:tcW w:w="4218" w:type="dxa"/>
            <w:vAlign w:val="bottom"/>
          </w:tcPr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п. Тюльган: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Октябрьская 1,4, 6, 8, 15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Магистральная 3,5,7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Высоцкого, ул. Аксакова,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Пушкинская, ул. Горняцкая,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Культурная, ул. Малиновая, 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Промышленная, ул. Сосновая,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Солнечная,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 Маяковского,</w:t>
            </w:r>
          </w:p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ул.Пугачевская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ул.Олимпийская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</w:p>
        </w:tc>
        <w:tc>
          <w:tcPr>
            <w:tcW w:w="5034" w:type="dxa"/>
          </w:tcPr>
          <w:p>
            <w:pPr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«Снежинка»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sz w:val="24"/>
                <w:szCs w:val="24"/>
                <w:shd w:val="clear" w:color="auto" w:fill="auto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п. Тюльган: ул. Кирова 1,3,5,7,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ул.Шахтостроительная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ул.М</w:t>
            </w:r>
            <w:r>
              <w:rPr>
                <w:rStyle w:val="220"/>
                <w:sz w:val="24"/>
                <w:szCs w:val="24"/>
              </w:rPr>
              <w:t xml:space="preserve">.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Горького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3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ул.Ленина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1,3-12, 31,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ул.Северная,ул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. Советская, ул. Восточная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1-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24, </w:t>
            </w:r>
          </w:p>
          <w:p>
            <w:pPr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ул. Пионерская 1-5, пер. Газовый, </w:t>
            </w:r>
          </w:p>
          <w:p>
            <w:pPr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пер. Торговый, пер. Школьный, хутор Старый Тюльган.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«Благодарновский детский сад»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Благодарное,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Парфирьевка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хутор Егорьевка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Ташлинский детский сад «Ёлочка»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Ташла</w:t>
            </w:r>
          </w:p>
        </w:tc>
      </w:tr>
      <w:tr>
        <w:tc>
          <w:tcPr>
            <w:tcW w:w="64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</w:p>
        </w:tc>
        <w:tc>
          <w:tcPr>
            <w:tcW w:w="5034" w:type="dxa"/>
          </w:tcPr>
          <w:p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«Тугустемирский детский сад»</w:t>
            </w:r>
          </w:p>
        </w:tc>
        <w:tc>
          <w:tcPr>
            <w:tcW w:w="4218" w:type="dxa"/>
          </w:tcPr>
          <w:p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Тугустемир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деревня Новая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Барангуловка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хутор Калинин, хутор Новый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Турай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хутор Старый 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Турай</w:t>
            </w:r>
          </w:p>
        </w:tc>
      </w:tr>
    </w:tbl>
    <w:p>
      <w:pPr>
        <w:tabs>
          <w:tab w:val="left" w:pos="9720"/>
          <w:tab w:val="left" w:pos="10076"/>
          <w:tab w:val="left" w:pos="10260"/>
          <w:tab w:val="left" w:pos="1080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left="5580"/>
        <w:rPr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sectPr>
      <w:headerReference w:type="default" r:id="rId9"/>
      <w:headerReference w:type="first" r:id="rId10"/>
      <w:footerReference w:type="default" r:id="rId11"/>
      <w:pgSz w:w="11906" w:h="16838"/>
      <w:pgMar w:top="0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000265820"/>
      <w:docPartObj>
        <w:docPartGallery w:val="Page Numbers (Top of Page)"/>
        <w:docPartUnique w:val="true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</w:p>
    </w:sdtContent>
  </w:sdt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</w:pP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 w:val="off"/>
      <w:tabs>
        <w:tab w:val="center" w:pos="4677"/>
        <w:tab w:val="right" w:pos="9355"/>
      </w:tabs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a4" w:customStyle="1">
    <w:name w:val="Верхний колонтитул Знак"/>
    <w:basedOn w:val="a0"/>
    <w:link w:val="a3"/>
    <w:uiPriority w:val="99"/>
    <w:rPr>
      <w:rFonts w:ascii="Arial" w:hAnsi="Arial" w:eastAsia="Times New Roman" w:cs="Times New Roman"/>
      <w:sz w:val="20"/>
      <w:szCs w:val="20"/>
    </w:rPr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</w:rPr>
  </w:style>
  <w:style w:type="paragraph" w:styleId="ConsPlusTitle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a5">
    <w:name w:val="Body Text"/>
    <w:basedOn w:val="a"/>
    <w:link w:val="a6"/>
    <w:pPr>
      <w:widowControl w:val="off"/>
      <w:spacing w:after="12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a6" w:customStyle="1">
    <w:name w:val="Основной текст Знак"/>
    <w:basedOn w:val="a0"/>
    <w:link w:val="a5"/>
    <w:rPr>
      <w:rFonts w:ascii="Arial" w:hAnsi="Arial" w:eastAsia="Times New Roman" w:cs="Times New Roman"/>
      <w:sz w:val="20"/>
      <w:szCs w:val="20"/>
    </w:rPr>
  </w:style>
  <w:style w:type="paragraph" w:styleId="21">
    <w:name w:val="Body Text 2"/>
    <w:basedOn w:val="a"/>
    <w:link w:val="22"/>
    <w:unhideWhenUsed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22" w:customStyle="1">
    <w:name w:val="Основной текст 2 Знак"/>
    <w:basedOn w:val="a0"/>
    <w:link w:val="21"/>
    <w:rPr>
      <w:rFonts w:ascii="Times New Roman" w:hAnsi="Times New Roman" w:eastAsia="Times New Roman" w:cs="Times New Roman"/>
      <w:sz w:val="24"/>
      <w:szCs w:val="24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BlockQuotation" w:customStyle="1">
    <w:name w:val="Block Quotation"/>
    <w:basedOn w:val="a"/>
    <w:pPr>
      <w:widowControl w:val="off"/>
      <w:spacing w:after="0" w:line="240" w:lineRule="auto"/>
      <w:ind w:left="567" w:right="-2" w:firstLine="851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7" w:customStyle="1">
    <w:name w:val="Знак Знак Знак"/>
    <w:basedOn w:val="a"/>
    <w:pPr>
      <w:spacing w:after="160" w:line="240" w:lineRule="exact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5" w:customStyle="1">
    <w:name w:val="Основной текст (5)_"/>
    <w:basedOn w:val="a0"/>
    <w:link w:val="50"/>
    <w:locked/>
    <w:rPr>
      <w:shd w:val="clear" w:color="auto" w:fill="ffffff"/>
    </w:rPr>
  </w:style>
  <w:style w:type="paragraph" w:styleId="50" w:customStyle="1">
    <w:name w:val="Основной текст (5)"/>
    <w:basedOn w:val="a"/>
    <w:link w:val="5"/>
    <w:pPr>
      <w:widowControl w:val="off"/>
      <w:shd w:val="clear" w:color="auto" w:fill="ffffff"/>
      <w:spacing w:before="360" w:after="0" w:line="274" w:lineRule="exact"/>
      <w:jc w:val="center"/>
    </w:pPr>
  </w:style>
  <w:style w:type="character" w:styleId="23" w:customStyle="1">
    <w:name w:val="Основной текст (2)_"/>
    <w:basedOn w:val="a0"/>
    <w:link w:val="210"/>
    <w:locked/>
    <w:rPr>
      <w:sz w:val="26"/>
      <w:szCs w:val="26"/>
      <w:shd w:val="clear" w:color="auto" w:fill="ffffff"/>
    </w:rPr>
  </w:style>
  <w:style w:type="paragraph" w:styleId="210" w:customStyle="1">
    <w:name w:val="Основной текст (2)1"/>
    <w:basedOn w:val="a"/>
    <w:link w:val="23"/>
    <w:pPr>
      <w:widowControl w:val="off"/>
      <w:shd w:val="clear" w:color="auto" w:fill="ffffff"/>
      <w:spacing w:before="240" w:after="360" w:line="240" w:lineRule="atLeast"/>
      <w:jc w:val="both"/>
    </w:pPr>
    <w:rPr>
      <w:sz w:val="26"/>
      <w:szCs w:val="26"/>
    </w:rPr>
  </w:style>
  <w:style w:type="character" w:styleId="7" w:customStyle="1">
    <w:name w:val="Основной текст (7)_"/>
    <w:basedOn w:val="a0"/>
    <w:link w:val="70"/>
    <w:locked/>
    <w:rPr>
      <w:b/>
      <w:bCs/>
      <w:sz w:val="26"/>
      <w:szCs w:val="26"/>
      <w:shd w:val="clear" w:color="auto" w:fill="ffffff"/>
    </w:rPr>
  </w:style>
  <w:style w:type="paragraph" w:styleId="70" w:customStyle="1">
    <w:name w:val="Основной текст (7)"/>
    <w:basedOn w:val="a"/>
    <w:link w:val="7"/>
    <w:pPr>
      <w:widowControl w:val="off"/>
      <w:shd w:val="clear" w:color="auto" w:fill="ffffff"/>
      <w:spacing w:before="360" w:after="360" w:line="322" w:lineRule="exact"/>
      <w:jc w:val="center"/>
    </w:pPr>
    <w:rPr>
      <w:b/>
      <w:bCs/>
      <w:sz w:val="26"/>
      <w:szCs w:val="26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 w:customStyle="1">
    <w:name w:val="Знак"/>
    <w:basedOn w:val="a"/>
    <w:pPr>
      <w:widowControl w:val="off"/>
      <w:spacing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 w:eastAsia="en-US"/>
    </w:rPr>
  </w:style>
  <w:style w:type="character" w:styleId="220" w:customStyle="1">
    <w:name w:val="Основной текст (2)2"/>
    <w:basedOn w:val="23"/>
    <w:rPr>
      <w:rFonts w:ascii="Times New Roman" w:hAnsi="Times New Roman" w:cs="Times New Roman"/>
      <w:sz w:val="26"/>
      <w:szCs w:val="26"/>
      <w:u w:val="none"/>
      <w:shd w:val="clear" w:color="auto" w:fill="ffffff"/>
      <w:lang w:bidi="ar-SA"/>
    </w:rPr>
  </w:style>
  <w:style w:type="character" w:styleId="24" w:customStyle="1">
    <w:name w:val="Основной текст (2)"/>
    <w:basedOn w:val="23"/>
    <w:rPr>
      <w:rFonts w:ascii="Times New Roman" w:hAnsi="Times New Roman" w:cs="Times New Roman"/>
      <w:sz w:val="20"/>
      <w:szCs w:val="20"/>
      <w:u w:val="none"/>
      <w:shd w:val="clear" w:color="auto" w:fill="ffffff"/>
      <w:lang w:bidi="ar-SA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oleObject" Target="embeddings/oleObject1.bin"/><Relationship Id="rId15" Type="http://schemas.openxmlformats.org/officeDocument/2006/relationships/image" Target="media/image2.png"/><Relationship Id="rId16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EED3-DE00-4BDF-8B5D-D51D117F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7049</Characters>
  <CharactersWithSpaces>8269</CharactersWithSpaces>
  <Company>SPecialiST RePack</Company>
  <DocSecurity>0</DocSecurity>
  <HyperlinksChanged>false</HyperlinksChanged>
  <Lines>58</Lines>
  <LinksUpToDate>false</LinksUpToDate>
  <Pages>6</Pages>
  <Paragraphs>16</Paragraphs>
  <ScaleCrop>false</ScaleCrop>
  <SharedDoc>false</SharedDoc>
  <Template>Normal.dotm</Template>
  <TotalTime>71</TotalTime>
  <Words>1236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22</cp:revision>
  <cp:lastPrinted>2025-01-27T06:15:00Z</cp:lastPrinted>
  <dcterms:created xsi:type="dcterms:W3CDTF">2024-02-01T05:53:00Z</dcterms:created>
  <dcterms:modified xsi:type="dcterms:W3CDTF">2025-02-25T07:55:00Z</dcterms:modified>
</cp:coreProperties>
</file>